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22214" w14:textId="27DAB84E" w:rsidR="00993BF4" w:rsidRDefault="00600363">
      <w:pPr>
        <w:spacing w:after="40"/>
        <w:jc w:val="center"/>
      </w:pPr>
      <w:r w:rsidRPr="00C572B4">
        <w:rPr>
          <w:b/>
          <w:noProof/>
          <w:color w:val="002060"/>
          <w:sz w:val="30"/>
        </w:rPr>
        <w:drawing>
          <wp:anchor distT="0" distB="0" distL="114300" distR="114300" simplePos="0" relativeHeight="251658240" behindDoc="0" locked="0" layoutInCell="1" allowOverlap="1" wp14:anchorId="50770A01" wp14:editId="4099C482">
            <wp:simplePos x="0" y="0"/>
            <wp:positionH relativeFrom="column">
              <wp:posOffset>-66675</wp:posOffset>
            </wp:positionH>
            <wp:positionV relativeFrom="paragraph">
              <wp:posOffset>-409575</wp:posOffset>
            </wp:positionV>
            <wp:extent cx="1238250" cy="935866"/>
            <wp:effectExtent l="0" t="0" r="0" b="0"/>
            <wp:wrapNone/>
            <wp:docPr id="3" name="Picture 2" descr="Logo, company name&#10;&#10;AI-generated content may be incorrect.">
              <a:extLst xmlns:a="http://schemas.openxmlformats.org/drawingml/2006/main">
                <a:ext uri="{FF2B5EF4-FFF2-40B4-BE49-F238E27FC236}">
                  <a16:creationId xmlns:a16="http://schemas.microsoft.com/office/drawing/2014/main" id="{904CCB89-6BC0-490E-31D5-25DEAE13C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go, company name&#10;&#10;AI-generated content may be incorrect.">
                      <a:extLst>
                        <a:ext uri="{FF2B5EF4-FFF2-40B4-BE49-F238E27FC236}">
                          <a16:creationId xmlns:a16="http://schemas.microsoft.com/office/drawing/2014/main" id="{904CCB89-6BC0-490E-31D5-25DEAE13C0AF}"/>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242027" cy="938721"/>
                    </a:xfrm>
                    <a:prstGeom prst="rect">
                      <a:avLst/>
                    </a:prstGeom>
                  </pic:spPr>
                </pic:pic>
              </a:graphicData>
            </a:graphic>
            <wp14:sizeRelH relativeFrom="page">
              <wp14:pctWidth>0</wp14:pctWidth>
            </wp14:sizeRelH>
            <wp14:sizeRelV relativeFrom="page">
              <wp14:pctHeight>0</wp14:pctHeight>
            </wp14:sizeRelV>
          </wp:anchor>
        </w:drawing>
      </w:r>
      <w:r w:rsidR="00E7296A">
        <w:rPr>
          <w:b/>
          <w:color w:val="002060"/>
          <w:sz w:val="30"/>
        </w:rPr>
        <w:t>NATIONAL SECURITY STRATEGY (NSS)</w:t>
      </w:r>
    </w:p>
    <w:p w14:paraId="4C322218" w14:textId="1CCE0D23" w:rsidR="00993BF4" w:rsidRDefault="00E7296A">
      <w:pPr>
        <w:spacing w:after="120"/>
        <w:jc w:val="center"/>
      </w:pPr>
      <w:r>
        <w:rPr>
          <w:b/>
          <w:color w:val="595959"/>
        </w:rPr>
        <w:t>Peace Through Strength – A New Era of American Defense</w:t>
      </w:r>
    </w:p>
    <w:p w14:paraId="3A52E1D7" w14:textId="77777777" w:rsidR="00993BF4" w:rsidRDefault="00993BF4">
      <w:pPr>
        <w:pBdr>
          <w:bottom w:val="single" w:sz="12" w:space="1" w:color="002060"/>
        </w:pBdr>
        <w:spacing w:after="120"/>
      </w:pPr>
    </w:p>
    <w:tbl>
      <w:tblPr>
        <w:tblW w:w="0" w:type="auto"/>
        <w:jc w:val="center"/>
        <w:tblLayout w:type="fixed"/>
        <w:tblLook w:val="04A0" w:firstRow="1" w:lastRow="0" w:firstColumn="1" w:lastColumn="0" w:noHBand="0" w:noVBand="1"/>
      </w:tblPr>
      <w:tblGrid>
        <w:gridCol w:w="10080"/>
      </w:tblGrid>
      <w:tr w:rsidR="00993BF4" w14:paraId="01AB351B" w14:textId="77777777">
        <w:trPr>
          <w:jc w:val="center"/>
        </w:trPr>
        <w:tc>
          <w:tcPr>
            <w:tcW w:w="10080" w:type="dxa"/>
            <w:tcBorders>
              <w:left w:val="single" w:sz="24" w:space="0" w:color="002060"/>
            </w:tcBorders>
            <w:shd w:val="clear" w:color="auto" w:fill="F2F4F7"/>
          </w:tcPr>
          <w:p w14:paraId="18AEB6E5" w14:textId="77777777" w:rsidR="00993BF4" w:rsidRDefault="00E7296A">
            <w:pPr>
              <w:spacing w:before="80" w:after="80"/>
              <w:ind w:left="120" w:right="120"/>
            </w:pPr>
            <w:r>
              <w:rPr>
                <w:b/>
                <w:color w:val="002060"/>
              </w:rPr>
              <w:t xml:space="preserve">BLUF: </w:t>
            </w:r>
            <w:r>
              <w:t>The 2025 National Security Strategy establishes an “America First” foreign policy of pragmatic, flexible realism. It prioritizes protecting core national interests by securing the homeland, restoring economic independence, enforcing fair burden-sharing with allies, and preventing any dominant global adversary.</w:t>
            </w:r>
          </w:p>
        </w:tc>
      </w:tr>
    </w:tbl>
    <w:p w14:paraId="2020EBFB" w14:textId="77777777" w:rsidR="00993BF4" w:rsidRDefault="00E7296A">
      <w:pPr>
        <w:pStyle w:val="Heading1"/>
      </w:pPr>
      <w:r>
        <w:t>I. Core Principles of American Strategy</w:t>
      </w:r>
    </w:p>
    <w:p w14:paraId="2A09C53E" w14:textId="77777777" w:rsidR="00993BF4" w:rsidRDefault="00E7296A">
      <w:pPr>
        <w:pStyle w:val="ListBullet"/>
      </w:pPr>
      <w:r>
        <w:rPr>
          <w:b/>
        </w:rPr>
        <w:t>Focused Definition of National Interest:</w:t>
      </w:r>
      <w:r>
        <w:t xml:space="preserve"> Rejects expanding “national interest” to every global issue. Focuses strictly on core security interests.</w:t>
      </w:r>
    </w:p>
    <w:p w14:paraId="53E0A9D3" w14:textId="77777777" w:rsidR="00993BF4" w:rsidRDefault="00E7296A">
      <w:pPr>
        <w:pStyle w:val="ListBullet"/>
      </w:pPr>
      <w:r>
        <w:rPr>
          <w:b/>
        </w:rPr>
        <w:t>Peace Through Strength:</w:t>
      </w:r>
      <w:r>
        <w:t xml:space="preserve"> A strong economy, advanced technology, cultural health, and a capable military are the most effective deterrents to conflict.</w:t>
      </w:r>
    </w:p>
    <w:p w14:paraId="6CDFD65F" w14:textId="77777777" w:rsidR="00993BF4" w:rsidRDefault="00E7296A">
      <w:pPr>
        <w:pStyle w:val="ListBullet"/>
      </w:pPr>
      <w:r>
        <w:rPr>
          <w:b/>
        </w:rPr>
        <w:t>Primacy of Nations &amp; Sovereignty:</w:t>
      </w:r>
      <w:r>
        <w:t xml:space="preserve"> The nation-state is the world’s fundamental political unit. The U.S. will put its own interests first and protect its sovereignty from transnational organizations.</w:t>
      </w:r>
    </w:p>
    <w:p w14:paraId="622FE8BB" w14:textId="77777777" w:rsidR="00993BF4" w:rsidRDefault="00E7296A">
      <w:pPr>
        <w:pStyle w:val="ListBullet"/>
      </w:pPr>
      <w:r>
        <w:rPr>
          <w:b/>
        </w:rPr>
        <w:t>Balance of Power:</w:t>
      </w:r>
      <w:r>
        <w:t xml:space="preserve"> The U.S. will work with allies to maintain regional balances of power, preventing any single nation from becoming so dominant it can threaten American interests.</w:t>
      </w:r>
    </w:p>
    <w:p w14:paraId="63002F43" w14:textId="77777777" w:rsidR="00993BF4" w:rsidRDefault="00E7296A">
      <w:pPr>
        <w:pStyle w:val="ListBullet"/>
      </w:pPr>
      <w:r>
        <w:rPr>
          <w:b/>
        </w:rPr>
        <w:t>Fairness &amp; Burden-Sharing:</w:t>
      </w:r>
      <w:r>
        <w:t xml:space="preserve"> The era of “free-riding” is over. The U.S. expects allies to meet the new global standard of </w:t>
      </w:r>
      <w:r>
        <w:rPr>
          <w:b/>
        </w:rPr>
        <w:t>5% of GDP</w:t>
      </w:r>
      <w:r>
        <w:t xml:space="preserve"> for defense spending.</w:t>
      </w:r>
    </w:p>
    <w:p w14:paraId="19221BAC" w14:textId="77777777" w:rsidR="00993BF4" w:rsidRDefault="00E7296A">
      <w:pPr>
        <w:pStyle w:val="Heading1"/>
      </w:pPr>
      <w:r>
        <w:t>II. National Priorities</w:t>
      </w:r>
    </w:p>
    <w:tbl>
      <w:tblPr>
        <w:tblW w:w="0" w:type="auto"/>
        <w:jc w:val="center"/>
        <w:tblLayout w:type="fixed"/>
        <w:tblCellMar>
          <w:top w:w="60" w:type="dxa"/>
          <w:left w:w="100" w:type="dxa"/>
          <w:bottom w:w="60" w:type="dxa"/>
          <w:right w:w="100" w:type="dxa"/>
        </w:tblCellMar>
        <w:tblLook w:val="04A0" w:firstRow="1" w:lastRow="0" w:firstColumn="1" w:lastColumn="0" w:noHBand="0" w:noVBand="1"/>
      </w:tblPr>
      <w:tblGrid>
        <w:gridCol w:w="2160"/>
        <w:gridCol w:w="7920"/>
      </w:tblGrid>
      <w:tr w:rsidR="00993BF4" w14:paraId="06099240" w14:textId="77777777">
        <w:trPr>
          <w:tblHeader/>
          <w:jc w:val="center"/>
        </w:trPr>
        <w:tc>
          <w:tcPr>
            <w:tcW w:w="2160" w:type="dxa"/>
            <w:tcBorders>
              <w:top w:val="single" w:sz="4" w:space="0" w:color="D3D3D3"/>
              <w:bottom w:val="single" w:sz="4" w:space="0" w:color="D3D3D3"/>
            </w:tcBorders>
            <w:shd w:val="clear" w:color="auto" w:fill="002060"/>
          </w:tcPr>
          <w:p w14:paraId="4C8C5267" w14:textId="77777777" w:rsidR="00993BF4" w:rsidRDefault="00E7296A">
            <w:pPr>
              <w:spacing w:before="40" w:after="40"/>
            </w:pPr>
            <w:r>
              <w:rPr>
                <w:b/>
                <w:color w:val="FFFFFF"/>
                <w:sz w:val="19"/>
              </w:rPr>
              <w:t>Priority Area</w:t>
            </w:r>
          </w:p>
        </w:tc>
        <w:tc>
          <w:tcPr>
            <w:tcW w:w="7920" w:type="dxa"/>
            <w:tcBorders>
              <w:top w:val="single" w:sz="4" w:space="0" w:color="D3D3D3"/>
              <w:bottom w:val="single" w:sz="4" w:space="0" w:color="D3D3D3"/>
            </w:tcBorders>
            <w:shd w:val="clear" w:color="auto" w:fill="002060"/>
          </w:tcPr>
          <w:p w14:paraId="3E4206BF" w14:textId="77777777" w:rsidR="00993BF4" w:rsidRDefault="00E7296A">
            <w:pPr>
              <w:spacing w:before="40" w:after="40"/>
            </w:pPr>
            <w:r>
              <w:rPr>
                <w:b/>
                <w:color w:val="FFFFFF"/>
                <w:sz w:val="19"/>
              </w:rPr>
              <w:t>Strategic Objective &amp; Key Actions</w:t>
            </w:r>
          </w:p>
        </w:tc>
      </w:tr>
      <w:tr w:rsidR="00993BF4" w14:paraId="705916F5" w14:textId="77777777">
        <w:trPr>
          <w:jc w:val="center"/>
        </w:trPr>
        <w:tc>
          <w:tcPr>
            <w:tcW w:w="2160" w:type="dxa"/>
            <w:tcBorders>
              <w:bottom w:val="single" w:sz="4" w:space="0" w:color="D3D3D3"/>
            </w:tcBorders>
          </w:tcPr>
          <w:p w14:paraId="383C51F4" w14:textId="77777777" w:rsidR="00993BF4" w:rsidRDefault="00E7296A">
            <w:pPr>
              <w:spacing w:before="40" w:after="40"/>
            </w:pPr>
            <w:r>
              <w:rPr>
                <w:b/>
                <w:sz w:val="19"/>
              </w:rPr>
              <w:t>Border Security</w:t>
            </w:r>
          </w:p>
        </w:tc>
        <w:tc>
          <w:tcPr>
            <w:tcW w:w="7920" w:type="dxa"/>
            <w:tcBorders>
              <w:bottom w:val="single" w:sz="4" w:space="0" w:color="D3D3D3"/>
            </w:tcBorders>
          </w:tcPr>
          <w:p w14:paraId="7D20DA06" w14:textId="77777777" w:rsidR="00993BF4" w:rsidRDefault="00E7296A">
            <w:pPr>
              <w:spacing w:before="40" w:after="40"/>
            </w:pPr>
            <w:r>
              <w:rPr>
                <w:sz w:val="19"/>
              </w:rPr>
              <w:t>The era of mass migration is over. Border security is the primary element of national security. Full border control is required to protect against invasion, drugs, and trafficking.</w:t>
            </w:r>
          </w:p>
        </w:tc>
      </w:tr>
      <w:tr w:rsidR="00993BF4" w14:paraId="15163189" w14:textId="77777777">
        <w:trPr>
          <w:jc w:val="center"/>
        </w:trPr>
        <w:tc>
          <w:tcPr>
            <w:tcW w:w="2160" w:type="dxa"/>
            <w:tcBorders>
              <w:bottom w:val="single" w:sz="4" w:space="0" w:color="D3D3D3"/>
            </w:tcBorders>
            <w:shd w:val="clear" w:color="auto" w:fill="F2F4F7"/>
          </w:tcPr>
          <w:p w14:paraId="24D29BBC" w14:textId="77777777" w:rsidR="00993BF4" w:rsidRDefault="00E7296A">
            <w:pPr>
              <w:spacing w:before="40" w:after="40"/>
            </w:pPr>
            <w:r>
              <w:rPr>
                <w:b/>
                <w:sz w:val="19"/>
              </w:rPr>
              <w:t>Economic Security</w:t>
            </w:r>
          </w:p>
        </w:tc>
        <w:tc>
          <w:tcPr>
            <w:tcW w:w="7920" w:type="dxa"/>
            <w:tcBorders>
              <w:bottom w:val="single" w:sz="4" w:space="0" w:color="D3D3D3"/>
            </w:tcBorders>
            <w:shd w:val="clear" w:color="auto" w:fill="F2F4F7"/>
          </w:tcPr>
          <w:p w14:paraId="3EAD2FF9" w14:textId="77777777" w:rsidR="00993BF4" w:rsidRDefault="00E7296A">
            <w:pPr>
              <w:spacing w:before="40" w:after="40"/>
            </w:pPr>
            <w:r>
              <w:rPr>
                <w:sz w:val="19"/>
              </w:rPr>
              <w:t>Re-shoring critical industries, achieving balanced trade, securing supply chains, reviving the Defense Industrial Base (DIB), and ensuring American energy dominance.</w:t>
            </w:r>
          </w:p>
        </w:tc>
      </w:tr>
      <w:tr w:rsidR="00993BF4" w14:paraId="2F569E40" w14:textId="77777777">
        <w:trPr>
          <w:jc w:val="center"/>
        </w:trPr>
        <w:tc>
          <w:tcPr>
            <w:tcW w:w="2160" w:type="dxa"/>
            <w:tcBorders>
              <w:bottom w:val="single" w:sz="4" w:space="0" w:color="D3D3D3"/>
            </w:tcBorders>
          </w:tcPr>
          <w:p w14:paraId="0F771297" w14:textId="77777777" w:rsidR="00993BF4" w:rsidRDefault="00E7296A">
            <w:pPr>
              <w:spacing w:before="40" w:after="40"/>
            </w:pPr>
            <w:r>
              <w:rPr>
                <w:b/>
                <w:sz w:val="19"/>
              </w:rPr>
              <w:t>Rights &amp; Liberties</w:t>
            </w:r>
          </w:p>
        </w:tc>
        <w:tc>
          <w:tcPr>
            <w:tcW w:w="7920" w:type="dxa"/>
            <w:tcBorders>
              <w:bottom w:val="single" w:sz="4" w:space="0" w:color="D3D3D3"/>
            </w:tcBorders>
          </w:tcPr>
          <w:p w14:paraId="6610D8B6" w14:textId="77777777" w:rsidR="00993BF4" w:rsidRDefault="00E7296A">
            <w:pPr>
              <w:spacing w:before="40" w:after="40"/>
            </w:pPr>
            <w:r>
              <w:rPr>
                <w:sz w:val="19"/>
              </w:rPr>
              <w:t>Government power must be used to secure God-given rights — especially free speech and religion — and must never be abused under the guise of “protecting democracy.”</w:t>
            </w:r>
          </w:p>
        </w:tc>
      </w:tr>
    </w:tbl>
    <w:p w14:paraId="2901D8D0" w14:textId="77777777" w:rsidR="00993BF4" w:rsidRDefault="00E7296A">
      <w:pPr>
        <w:pStyle w:val="Heading1"/>
      </w:pPr>
      <w:r>
        <w:t>III. Regional Strategies: A Prioritized Approach</w:t>
      </w:r>
    </w:p>
    <w:p w14:paraId="46E77C0D" w14:textId="77777777" w:rsidR="00993BF4" w:rsidRDefault="00E7296A">
      <w:pPr>
        <w:pStyle w:val="ListBullet"/>
      </w:pPr>
      <w:r>
        <w:rPr>
          <w:b/>
        </w:rPr>
        <w:t>Western Hemisphere (Highest Priority):</w:t>
      </w:r>
      <w:r>
        <w:t xml:space="preserve"> Enforces the </w:t>
      </w:r>
      <w:r>
        <w:rPr>
          <w:b/>
        </w:rPr>
        <w:t>Trump Corollary to the Monroe Doctrine</w:t>
      </w:r>
      <w:r>
        <w:t>. Restores U.S. preeminence, denies non-hemispheric competitors access to strategic assets (e.g., Greenland, Panama Canal), and enlists regional partners to stop illegal migration and drug flows.</w:t>
      </w:r>
    </w:p>
    <w:p w14:paraId="398EEC6B" w14:textId="77777777" w:rsidR="00993BF4" w:rsidRDefault="00E7296A">
      <w:pPr>
        <w:pStyle w:val="ListBullet"/>
      </w:pPr>
      <w:r>
        <w:rPr>
          <w:b/>
        </w:rPr>
        <w:t>Asia:</w:t>
      </w:r>
      <w:r>
        <w:t xml:space="preserve"> Focuses on winning the economic future and preventing military confrontation. Rebalances the economic relationship with China through reciprocity and fairness, while maintaining a robust military balance to deter aggression in the First Island Chain (particularly regarding Taiwan).</w:t>
      </w:r>
    </w:p>
    <w:p w14:paraId="3B109BB7" w14:textId="77777777" w:rsidR="00993BF4" w:rsidRDefault="00E7296A">
      <w:pPr>
        <w:pStyle w:val="ListBullet"/>
      </w:pPr>
      <w:r>
        <w:rPr>
          <w:b/>
        </w:rPr>
        <w:t>Europe:</w:t>
      </w:r>
      <w:r>
        <w:t xml:space="preserve"> Encourages Europe to correct its trajectory of economic stagnation and civilizational decline. Prioritizes reestablishing stability with Russia, enabling European states to take primary responsibility for their own defense, and securing an expeditious cessation of hostilities in Ukraine.</w:t>
      </w:r>
    </w:p>
    <w:p w14:paraId="073282F7" w14:textId="77777777" w:rsidR="00993BF4" w:rsidRDefault="00E7296A">
      <w:pPr>
        <w:pStyle w:val="ListBullet"/>
      </w:pPr>
      <w:r>
        <w:rPr>
          <w:b/>
        </w:rPr>
        <w:t>Middle East:</w:t>
      </w:r>
      <w:r>
        <w:t xml:space="preserve"> Shifts burdens and builds peace. With U.S. energy dominance and Iran’s nuclear program neutralized (</w:t>
      </w:r>
      <w:r>
        <w:rPr>
          <w:i/>
        </w:rPr>
        <w:t>Operation MIDNIGHT HAMMER</w:t>
      </w:r>
      <w:r>
        <w:t>), Middle East partners must lead regional security. The U.S. will focus on expanding the Abraham Accords and protecting vital maritime chokepoints (Strait of Hormuz, Red Sea).</w:t>
      </w:r>
    </w:p>
    <w:p w14:paraId="37D6FC26" w14:textId="77777777" w:rsidR="00993BF4" w:rsidRDefault="00E7296A">
      <w:pPr>
        <w:pStyle w:val="ListBullet"/>
      </w:pPr>
      <w:r>
        <w:rPr>
          <w:b/>
        </w:rPr>
        <w:t>Africa:</w:t>
      </w:r>
      <w:r>
        <w:t xml:space="preserve"> Transitions from an aid-focused paradigm to an investment-and-growth paradigm, favoring trade partnerships with reliable states to develop critical minerals and energy, while remaining wary of Islamist terrorist activity.</w:t>
      </w:r>
    </w:p>
    <w:p w14:paraId="2939E5AB" w14:textId="77777777" w:rsidR="00B975CF" w:rsidRDefault="00B975CF" w:rsidP="00B975CF">
      <w:pPr>
        <w:pStyle w:val="Heading1"/>
      </w:pPr>
      <w:r>
        <w:t>IV. Reference Document</w:t>
      </w:r>
    </w:p>
    <w:p w14:paraId="19D4576A" w14:textId="72EB0A2B" w:rsidR="00E7296A" w:rsidRDefault="00B975CF" w:rsidP="00B975CF">
      <w:pPr>
        <w:pStyle w:val="ListBullet"/>
        <w:spacing w:line="276" w:lineRule="auto"/>
      </w:pPr>
      <w:r w:rsidRPr="00B975CF">
        <w:rPr>
          <w:b/>
        </w:rPr>
        <w:t>Official Link:</w:t>
      </w:r>
      <w:r w:rsidR="000B59FD" w:rsidRPr="000B59FD">
        <w:rPr>
          <w:bCs/>
        </w:rPr>
        <w:t xml:space="preserve"> </w:t>
      </w:r>
      <w:hyperlink r:id="rId9" w:history="1">
        <w:r w:rsidR="000B59FD" w:rsidRPr="000B59FD">
          <w:rPr>
            <w:rStyle w:val="Hyperlink"/>
            <w:bCs/>
          </w:rPr>
          <w:t>https://www.whitehouse.gov/wp-content/uploads/2025/12/2025-National-Security-Strategy.pdf</w:t>
        </w:r>
      </w:hyperlink>
      <w:r w:rsidR="000B59FD">
        <w:rPr>
          <w:b/>
        </w:rPr>
        <w:t xml:space="preserve"> </w:t>
      </w:r>
    </w:p>
    <w:sectPr w:rsidR="00E7296A" w:rsidSect="00034616">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8B263" w14:textId="77777777" w:rsidR="00C12A45" w:rsidRDefault="00C12A45" w:rsidP="007D46D2">
      <w:pPr>
        <w:spacing w:after="0" w:line="240" w:lineRule="auto"/>
      </w:pPr>
      <w:r>
        <w:separator/>
      </w:r>
    </w:p>
  </w:endnote>
  <w:endnote w:type="continuationSeparator" w:id="0">
    <w:p w14:paraId="0B1A3D8D" w14:textId="77777777" w:rsidR="00C12A45" w:rsidRDefault="00C12A45" w:rsidP="007D4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43B4" w14:textId="77777777" w:rsidR="007D46D2" w:rsidRDefault="007D4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BB66" w14:textId="13CBDFE0" w:rsidR="007D46D2" w:rsidRDefault="007D46D2">
    <w:pPr>
      <w:pStyle w:val="Footer"/>
    </w:pPr>
    <w:r w:rsidRPr="007D46D2">
      <w:t>DAFCGOC/PD/1-Pager/2026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8A6A" w14:textId="77777777" w:rsidR="007D46D2" w:rsidRDefault="007D4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2CF9B" w14:textId="77777777" w:rsidR="00C12A45" w:rsidRDefault="00C12A45" w:rsidP="007D46D2">
      <w:pPr>
        <w:spacing w:after="0" w:line="240" w:lineRule="auto"/>
      </w:pPr>
      <w:r>
        <w:separator/>
      </w:r>
    </w:p>
  </w:footnote>
  <w:footnote w:type="continuationSeparator" w:id="0">
    <w:p w14:paraId="7AFEF449" w14:textId="77777777" w:rsidR="00C12A45" w:rsidRDefault="00C12A45" w:rsidP="007D4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B485" w14:textId="77777777" w:rsidR="007D46D2" w:rsidRDefault="007D4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5322" w14:textId="77777777" w:rsidR="007D46D2" w:rsidRDefault="007D4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AD35" w14:textId="77777777" w:rsidR="007D46D2" w:rsidRDefault="007D4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2621698">
    <w:abstractNumId w:val="8"/>
  </w:num>
  <w:num w:numId="2" w16cid:durableId="863205780">
    <w:abstractNumId w:val="6"/>
  </w:num>
  <w:num w:numId="3" w16cid:durableId="181096750">
    <w:abstractNumId w:val="5"/>
  </w:num>
  <w:num w:numId="4" w16cid:durableId="1179003353">
    <w:abstractNumId w:val="4"/>
  </w:num>
  <w:num w:numId="5" w16cid:durableId="1603873206">
    <w:abstractNumId w:val="7"/>
  </w:num>
  <w:num w:numId="6" w16cid:durableId="520318311">
    <w:abstractNumId w:val="3"/>
  </w:num>
  <w:num w:numId="7" w16cid:durableId="798032450">
    <w:abstractNumId w:val="2"/>
  </w:num>
  <w:num w:numId="8" w16cid:durableId="2062631503">
    <w:abstractNumId w:val="1"/>
  </w:num>
  <w:num w:numId="9" w16cid:durableId="190691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9FD"/>
    <w:rsid w:val="0015074B"/>
    <w:rsid w:val="0029639D"/>
    <w:rsid w:val="00326F90"/>
    <w:rsid w:val="0044639F"/>
    <w:rsid w:val="00600363"/>
    <w:rsid w:val="006F3A32"/>
    <w:rsid w:val="007D46D2"/>
    <w:rsid w:val="008C2759"/>
    <w:rsid w:val="00993BF4"/>
    <w:rsid w:val="00AA1D8D"/>
    <w:rsid w:val="00B47730"/>
    <w:rsid w:val="00B975CF"/>
    <w:rsid w:val="00C12A45"/>
    <w:rsid w:val="00C26A8A"/>
    <w:rsid w:val="00C7217B"/>
    <w:rsid w:val="00CB0664"/>
    <w:rsid w:val="00E729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AB47F8"/>
  <w14:defaultImageDpi w14:val="300"/>
  <w15:docId w15:val="{28638350-247E-42BA-AD78-38CD6CAD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Calibri" w:eastAsia="Calibri" w:hAnsi="Calibri"/>
      <w:color w:val="1F1F1F"/>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0206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64" w:lineRule="auto"/>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B59FD"/>
    <w:rPr>
      <w:color w:val="0000FF" w:themeColor="hyperlink"/>
      <w:u w:val="single"/>
    </w:rPr>
  </w:style>
  <w:style w:type="character" w:styleId="UnresolvedMention">
    <w:name w:val="Unresolved Mention"/>
    <w:basedOn w:val="DefaultParagraphFont"/>
    <w:uiPriority w:val="99"/>
    <w:semiHidden/>
    <w:unhideWhenUsed/>
    <w:rsid w:val="000B5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itehouse.gov/wp-content/uploads/2025/12/2025-National-Security-Strategy.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CHOPRA, HIMANSHU Capt USAF AMC 305 MXG/LXK</cp:lastModifiedBy>
  <cp:revision>7</cp:revision>
  <dcterms:created xsi:type="dcterms:W3CDTF">2026-06-05T02:09:00Z</dcterms:created>
  <dcterms:modified xsi:type="dcterms:W3CDTF">2026-10-15T13:57:00Z</dcterms:modified>
  <cp:category/>
</cp:coreProperties>
</file>